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伦敦政治经济学院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专业学习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项目选拔通知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cs="Calibri" w:asciiTheme="minorHAnsi" w:hAnsiTheme="minorHAnsi"/>
          <w:kern w:val="0"/>
          <w:szCs w:val="21"/>
        </w:rPr>
        <w:t>20</w:t>
      </w:r>
      <w:r>
        <w:rPr>
          <w:rFonts w:hint="eastAsia" w:cs="Calibri" w:asciiTheme="minorHAnsi" w:hAnsiTheme="minorHAnsi"/>
          <w:kern w:val="0"/>
          <w:szCs w:val="21"/>
        </w:rPr>
        <w:t>20</w:t>
      </w:r>
      <w:r>
        <w:rPr>
          <w:rFonts w:cs="Calibri" w:asciiTheme="minorHAnsi" w:hAnsiTheme="minorHAnsi"/>
          <w:kern w:val="0"/>
          <w:szCs w:val="21"/>
        </w:rPr>
        <w:t>年暑期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伦敦政治经济学院（</w:t>
      </w:r>
      <w:r>
        <w:rPr>
          <w:rFonts w:hint="eastAsia" w:cs="Calibri" w:asciiTheme="minorHAnsi" w:hAnsiTheme="minorHAnsi"/>
          <w:kern w:val="0"/>
          <w:szCs w:val="21"/>
        </w:rPr>
        <w:t>London School of Economics and Political Science, 简称LSE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）暑期专业学习课程由L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暑校（L</w:t>
      </w:r>
      <w:r>
        <w:rPr>
          <w:rFonts w:asciiTheme="minorHAnsi" w:hAnsiTheme="minorHAnsi" w:eastAsiaTheme="majorEastAsia" w:cstheme="minorHAnsi"/>
          <w:kern w:val="0"/>
          <w:szCs w:val="21"/>
        </w:rPr>
        <w:t>SE Summer School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）开设，旨在为来自世界各地的访学生提供为期三周的专业课程学习，包括丰富多元的学术主题，以满足不同领域学生的专业学习需求</w:t>
      </w:r>
      <w:r>
        <w:rPr>
          <w:rFonts w:asciiTheme="minorHAnsi" w:hAnsiTheme="minorHAnsi" w:eastAsiaTheme="majorEastAsia" w:cstheme="minorHAnsi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szCs w:val="21"/>
        </w:rPr>
        <w:t>LSE的暑校创办至今已有30年历史，是在欧洲历史最悠久且在同类学校中规模最大的暑期学校，目前开设近100门各类课程。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1169035</wp:posOffset>
            </wp:positionV>
            <wp:extent cx="5057775" cy="2373630"/>
            <wp:effectExtent l="0" t="0" r="9525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在中国的正式授权机构，负责选拔优秀中国大学生，于2020年暑期前往L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参加为期三周的暑期专业学习项目。学生将与其他国际学生一起参与专业课程的学习</w:t>
      </w:r>
      <w:r>
        <w:rPr>
          <w:rFonts w:hint="eastAsia" w:asciiTheme="minorHAnsi" w:hAnsiTheme="minorHAnsi" w:eastAsiaTheme="majorEastAsia" w:cstheme="minorHAnsi"/>
          <w:szCs w:val="21"/>
        </w:rPr>
        <w:t>，充分体验L</w:t>
      </w:r>
      <w:r>
        <w:rPr>
          <w:rFonts w:asciiTheme="minorHAnsi" w:hAnsiTheme="minorHAnsi" w:eastAsiaTheme="majorEastAsia" w:cstheme="minorHAnsi"/>
          <w:szCs w:val="21"/>
        </w:rPr>
        <w:t>SE</w:t>
      </w:r>
      <w:r>
        <w:rPr>
          <w:rFonts w:hint="eastAsia" w:asciiTheme="minorHAnsi" w:hAnsiTheme="minorHAnsi" w:eastAsiaTheme="majorEastAsia" w:cstheme="minorHAnsi"/>
          <w:szCs w:val="21"/>
        </w:rPr>
        <w:t>严谨的学术氛围，同时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有效提升自身的英语水平以及专业素养。</w:t>
      </w:r>
    </w:p>
    <w:p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伦敦政治经济学院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创建于</w:t>
      </w:r>
      <w:r>
        <w:rPr>
          <w:rFonts w:hint="eastAsia" w:cs="Calibri" w:asciiTheme="minorHAnsi" w:hAnsiTheme="minorHAnsi"/>
          <w:szCs w:val="21"/>
        </w:rPr>
        <w:t>1895年，</w:t>
      </w:r>
      <w:r>
        <w:rPr>
          <w:rFonts w:cs="Calibri" w:asciiTheme="minorHAnsi" w:hAnsiTheme="minorHAnsi"/>
          <w:szCs w:val="21"/>
        </w:rPr>
        <w:t>与</w:t>
      </w:r>
      <w:r>
        <w:rPr>
          <w:rFonts w:cs="Calibri" w:asciiTheme="minorHAnsi" w:hAnsiTheme="minorHAnsi"/>
        </w:rPr>
        <w:t>牛津大学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剑桥大学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伦敦大学学院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帝国理工学院</w:t>
      </w:r>
      <w:r>
        <w:rPr>
          <w:rFonts w:cs="Calibri" w:asciiTheme="minorHAnsi" w:hAnsiTheme="minorHAnsi"/>
          <w:szCs w:val="21"/>
        </w:rPr>
        <w:t>并称“</w:t>
      </w:r>
      <w:r>
        <w:rPr>
          <w:rFonts w:cs="Calibri" w:asciiTheme="minorHAnsi" w:hAnsiTheme="minorHAnsi"/>
        </w:rPr>
        <w:t>G5</w:t>
      </w:r>
      <w:r>
        <w:rPr>
          <w:rFonts w:cs="Calibri" w:asciiTheme="minorHAnsi" w:hAnsiTheme="minorHAnsi"/>
          <w:szCs w:val="21"/>
        </w:rPr>
        <w:t>超级精英大学”，也是英国</w:t>
      </w:r>
      <w:r>
        <w:rPr>
          <w:rFonts w:cs="Calibri" w:asciiTheme="minorHAnsi" w:hAnsiTheme="minorHAnsi"/>
        </w:rPr>
        <w:t>金三角名校</w:t>
      </w:r>
      <w:r>
        <w:rPr>
          <w:rFonts w:cs="Calibri" w:asciiTheme="minorHAnsi" w:hAnsiTheme="minorHAnsi"/>
          <w:szCs w:val="21"/>
        </w:rPr>
        <w:t>和</w:t>
      </w:r>
      <w:r>
        <w:rPr>
          <w:rFonts w:cs="Calibri" w:asciiTheme="minorHAnsi" w:hAnsiTheme="minorHAnsi"/>
        </w:rPr>
        <w:t>罗素大学集团</w:t>
      </w:r>
      <w:r>
        <w:rPr>
          <w:rFonts w:cs="Calibri" w:asciiTheme="minorHAnsi" w:hAnsiTheme="minorHAnsi"/>
          <w:szCs w:val="21"/>
        </w:rPr>
        <w:t>成员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2020年Times世界大学综合排名第27位，2020年QS世界大学综合排名第44位，社会科学领域享誉世界，常年位</w:t>
      </w:r>
      <w:r>
        <w:rPr>
          <w:rFonts w:cs="Calibri" w:asciiTheme="minorHAnsi" w:hAnsiTheme="minorHAnsi"/>
          <w:szCs w:val="21"/>
        </w:rPr>
        <w:t>居欧洲第</w:t>
      </w:r>
      <w:r>
        <w:rPr>
          <w:rFonts w:hint="eastAsia" w:cs="Calibri" w:asciiTheme="minorHAnsi" w:hAnsiTheme="minorHAnsi"/>
          <w:szCs w:val="21"/>
        </w:rPr>
        <w:t>1；</w:t>
      </w:r>
    </w:p>
    <w:p>
      <w:pPr>
        <w:pStyle w:val="20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下设25个学术科系与</w:t>
      </w:r>
      <w:r>
        <w:rPr>
          <w:rFonts w:hint="eastAsia" w:asciiTheme="minorHAnsi" w:hAnsiTheme="minorHAnsi" w:eastAsiaTheme="majorEastAsia" w:cstheme="minorHAnsi"/>
          <w:szCs w:val="21"/>
        </w:rPr>
        <w:t>23个研究中心，</w:t>
      </w:r>
      <w:r>
        <w:rPr>
          <w:rFonts w:cs="Calibri" w:asciiTheme="minorHAnsi" w:hAnsiTheme="minorHAnsi"/>
          <w:szCs w:val="21"/>
        </w:rPr>
        <w:t>优势学科包括社会科学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管理学</w:t>
      </w:r>
      <w:r>
        <w:rPr>
          <w:rFonts w:hint="eastAsia" w:cs="Calibri" w:asciiTheme="minorHAnsi" w:hAnsiTheme="minorHAnsi"/>
          <w:szCs w:val="21"/>
        </w:rPr>
        <w:t>、金融、商科、</w:t>
      </w:r>
      <w:r>
        <w:rPr>
          <w:rFonts w:cs="Calibri" w:asciiTheme="minorHAnsi" w:hAnsiTheme="minorHAnsi"/>
          <w:szCs w:val="21"/>
        </w:rPr>
        <w:t>经济学等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校友及教员之中包括18名诺贝尔奖得奖者</w:t>
      </w:r>
      <w:r>
        <w:rPr>
          <w:rFonts w:hint="eastAsia" w:cs="Calibri" w:asciiTheme="minorHAnsi" w:hAnsiTheme="minorHAnsi"/>
          <w:szCs w:val="21"/>
        </w:rPr>
        <w:t>与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7</w:t>
      </w:r>
      <w:r>
        <w:rPr>
          <w:rFonts w:cs="Calibri" w:asciiTheme="minorHAnsi" w:hAnsiTheme="minorHAnsi"/>
          <w:szCs w:val="21"/>
        </w:rPr>
        <w:t>名政府或国家元首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学校</w:t>
      </w:r>
      <w:r>
        <w:rPr>
          <w:rFonts w:asciiTheme="minorHAnsi" w:hAnsiTheme="minorHAnsi" w:cstheme="minorHAnsi"/>
          <w:kern w:val="0"/>
          <w:szCs w:val="21"/>
        </w:rPr>
        <w:t>位</w:t>
      </w:r>
      <w:r>
        <w:rPr>
          <w:rFonts w:cs="Calibri" w:asciiTheme="minorHAnsi" w:hAnsiTheme="minorHAnsi"/>
          <w:szCs w:val="21"/>
        </w:rPr>
        <w:t>于英国首都伦敦市中心，地理位置优越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比邻</w:t>
      </w:r>
      <w:r>
        <w:rPr>
          <w:rFonts w:hint="eastAsia" w:cs="Calibri" w:asciiTheme="minorHAnsi" w:hAnsiTheme="minorHAnsi"/>
          <w:szCs w:val="21"/>
        </w:rPr>
        <w:t>国会</w:t>
      </w:r>
      <w:r>
        <w:rPr>
          <w:rFonts w:cs="Calibri" w:asciiTheme="minorHAnsi" w:hAnsiTheme="minorHAnsi"/>
          <w:szCs w:val="21"/>
        </w:rPr>
        <w:t>大厦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大英博物馆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特拉法加广场等地标建筑。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numPr>
          <w:ilvl w:val="0"/>
          <w:numId w:val="0"/>
        </w:numPr>
        <w:spacing w:line="360" w:lineRule="auto"/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</w:pPr>
      <w:r>
        <w:rPr>
          <w:rFonts w:hint="eastAsia" w:asciiTheme="minorHAnsi" w:hAnsiTheme="minorHAnsi" w:eastAsiaTheme="majorEastAsia" w:cstheme="minorHAnsi"/>
          <w:szCs w:val="21"/>
          <w:highlight w:val="none"/>
        </w:rPr>
        <w:t>2020年8月3日–8月21日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eastAsia="zh-CN"/>
        </w:rPr>
        <w:t>（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3周纯专业课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2020年</w:t>
      </w:r>
      <w:r>
        <w:rPr>
          <w:rFonts w:hint="eastAsia" w:asciiTheme="minorHAnsi" w:hAnsiTheme="minorHAnsi" w:eastAsiaTheme="majorEastAsia" w:cstheme="minorHAnsi"/>
          <w:szCs w:val="21"/>
          <w:highlight w:val="none"/>
        </w:rPr>
        <w:t>7月27日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-8月21日（1周强化英语+3周专业课）</w:t>
      </w:r>
      <w:r>
        <w:rPr>
          <w:rFonts w:hint="eastAsia" w:asciiTheme="minorHAnsi" w:hAnsiTheme="minorHAnsi" w:eastAsiaTheme="majorEastAsia" w:cstheme="minorHAnsi"/>
          <w:szCs w:val="21"/>
        </w:rPr>
        <w:t xml:space="preserve">  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LSE暑期专业学习课程每期为三周，包括至少54学时，其中授课18学时，讲座36学时，同时学生每天还有2至3学时的自学时间。每期课程学生选择一门专业课，主要领域包括会计学、商科与管理、经济学、金融、</w:t>
      </w:r>
      <w:bookmarkStart w:id="0" w:name="_GoBack"/>
      <w:bookmarkEnd w:id="0"/>
      <w:r>
        <w:rPr>
          <w:rFonts w:hint="eastAsia" w:asciiTheme="minorHAnsi" w:hAnsiTheme="minorHAnsi" w:eastAsiaTheme="majorEastAsia" w:cstheme="minorHAnsi"/>
          <w:szCs w:val="21"/>
        </w:rPr>
        <w:t>法律、研究方法、数据科学与数学等。每个领域的课程均由浅至深分为100、200和300三种级别，选择200和300级别的课程通常要求学生在国内大学已经修读过相关专业课程。 详细的选课列表请见附件一，更多课程详情和先修课程的要求，可参考</w:t>
      </w:r>
      <w:r>
        <w:fldChar w:fldCharType="begin"/>
      </w:r>
      <w:r>
        <w:instrText xml:space="preserve"> HYPERLINK "https://www.lse.ac.uk/study-at-lse/Summer-Schools/Summer-School/Courses/Secure/Home.aspx"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学校官网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szCs w:val="21"/>
          <w:lang w:eastAsia="zh-CN"/>
        </w:rPr>
      </w:pPr>
      <w:r>
        <w:rPr>
          <w:rFonts w:hint="eastAsia" w:asciiTheme="minorHAnsi" w:hAnsiTheme="minorHAnsi" w:eastAsiaTheme="majorEastAsia" w:cstheme="minorHAnsi"/>
          <w:szCs w:val="21"/>
        </w:rPr>
        <w:t>希望提高在商务领域英语应用的学生，也可选择商务英语专业课程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没有托福或雅思成绩的学生，可在申请时提交符合要求的大学英语四级成绩。 学生必须先参加一周的强化英语课程再参加专业课的学习，这样学习时间总共为四周。强化英语课程的开课时间为7月27日。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76835</wp:posOffset>
            </wp:positionV>
            <wp:extent cx="4219575" cy="1843405"/>
            <wp:effectExtent l="0" t="0" r="9525" b="444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项目证书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参加项目的学生与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其他</w:t>
      </w:r>
      <w:r>
        <w:rPr>
          <w:rFonts w:cs="Arial" w:asciiTheme="minorHAnsi" w:hAnsiTheme="minorHAnsi"/>
          <w:color w:val="333333"/>
          <w:kern w:val="0"/>
          <w:szCs w:val="21"/>
        </w:rPr>
        <w:t>国际</w:t>
      </w:r>
      <w:r>
        <w:rPr>
          <w:rFonts w:asciiTheme="minorHAnsi" w:hAnsiTheme="minorHAnsi" w:eastAsiaTheme="majorEastAsia" w:cstheme="minorHAnsi"/>
          <w:szCs w:val="21"/>
        </w:rPr>
        <w:t>学生混合编班，由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LSE</w:t>
      </w:r>
      <w:r>
        <w:rPr>
          <w:rFonts w:asciiTheme="minorHAnsi" w:hAnsiTheme="minorHAnsi" w:eastAsiaTheme="majorEastAsia" w:cstheme="minorHAnsi"/>
          <w:szCs w:val="21"/>
        </w:rPr>
        <w:t>进行统一的学术管理与学术考核。</w:t>
      </w:r>
      <w:r>
        <w:rPr>
          <w:rFonts w:hint="eastAsia" w:asciiTheme="minorHAnsi" w:hAnsiTheme="minorHAnsi" w:eastAsiaTheme="majorEastAsia" w:cstheme="minorHAnsi"/>
          <w:szCs w:val="21"/>
        </w:rPr>
        <w:t>课程的考核方式为两次笔试、或一次期末考试加考核作业。完成学习并通过考核后，学生将获得LSE颁发的正式成绩单与项目证书。通常，LSE的课程对应美国教育体系中的3个学分。</w:t>
      </w:r>
      <w:r>
        <w:rPr>
          <w:rFonts w:asciiTheme="minorHAnsi" w:hAnsiTheme="minorHAnsi" w:eastAsiaTheme="majorEastAsia" w:cstheme="minorHAnsi"/>
          <w:szCs w:val="21"/>
        </w:rPr>
        <w:t>经本校教务处获院系评估认可的学分可转为本校学分。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76200</wp:posOffset>
            </wp:positionV>
            <wp:extent cx="2209800" cy="2724785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28575</wp:posOffset>
            </wp:positionV>
            <wp:extent cx="2124075" cy="27527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图：LSE暑期课程成绩单与证书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firstLine="420" w:firstLineChars="200"/>
        <w:rPr>
          <w:rFonts w:cs="Calibri" w:asciiTheme="minorHAnsi" w:hAnsiTheme="minorHAnsi"/>
          <w:sz w:val="22"/>
          <w:szCs w:val="22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62865</wp:posOffset>
            </wp:positionV>
            <wp:extent cx="2491105" cy="1370330"/>
            <wp:effectExtent l="0" t="0" r="4445" b="127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Calibri" w:asciiTheme="minorHAnsi" w:hAnsiTheme="minorHAnsi"/>
          <w:sz w:val="22"/>
          <w:szCs w:val="22"/>
        </w:rPr>
        <w:t>项目学生均可获得</w:t>
      </w:r>
      <w:r>
        <w:rPr>
          <w:rFonts w:hint="eastAsia" w:asciiTheme="minorHAnsi" w:hAnsiTheme="minorHAnsi" w:eastAsiaTheme="majorEastAsia" w:cstheme="minorHAnsi"/>
          <w:szCs w:val="21"/>
        </w:rPr>
        <w:t>LSE</w:t>
      </w:r>
      <w:r>
        <w:rPr>
          <w:rFonts w:hint="eastAsia" w:cs="Calibri" w:asciiTheme="minorHAnsi" w:hAnsiTheme="minorHAnsi"/>
          <w:sz w:val="22"/>
          <w:szCs w:val="22"/>
        </w:rPr>
        <w:t>正式注册的学生证，凭借学生证可在项目期内，按校方规定使用学校的校园设施与教育资源，包括图书馆、健身房、活动中心等。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参加LSE暑期课程的学生可入住校内宿舍（大部分位于伦敦市中心）。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ind w:firstLine="420" w:firstLineChars="200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参加一期暑期专业课程（3周）的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项目费用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约为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3,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644英镑（约合人民币3.2万元）。如需提前修读1周语言课程，则4周课程的项目费用约为4,394英镑（约合人民币3.8万元）。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申请费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、医疗与意外险、接机费用、以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、住宿/餐费、与个人消费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注：L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SE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的学生公寓价格因地点不同而存在差异，3周的住宿费用约为1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,300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英镑（含早餐），以最终实际预订情况为准。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0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项目名额</w:t>
      </w:r>
    </w:p>
    <w:p>
      <w:pPr>
        <w:widowControl/>
        <w:spacing w:line="360" w:lineRule="auto"/>
        <w:ind w:left="420" w:leftChars="20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20</w:t>
      </w:r>
      <w:r>
        <w:rPr>
          <w:rFonts w:hint="eastAsia" w:cs="Calibri" w:asciiTheme="minorHAnsi" w:hAnsiTheme="minorHAnsi"/>
          <w:szCs w:val="21"/>
        </w:rPr>
        <w:t>20</w:t>
      </w:r>
      <w:r>
        <w:rPr>
          <w:rFonts w:cs="Calibri" w:asciiTheme="minorHAnsi" w:hAnsiTheme="minorHAnsi"/>
          <w:szCs w:val="21"/>
        </w:rPr>
        <w:t>年</w:t>
      </w:r>
      <w:r>
        <w:rPr>
          <w:rFonts w:hint="eastAsia" w:cs="Calibri" w:asciiTheme="minorHAnsi" w:hAnsiTheme="minorHAnsi"/>
          <w:szCs w:val="21"/>
        </w:rPr>
        <w:t>LSE暑期专业学习</w:t>
      </w:r>
      <w:r>
        <w:rPr>
          <w:rFonts w:cs="Calibri" w:asciiTheme="minorHAnsi" w:hAnsiTheme="minorHAnsi"/>
          <w:szCs w:val="21"/>
        </w:rPr>
        <w:t>课程，我校选拔名额为</w:t>
      </w:r>
      <w:r>
        <w:rPr>
          <w:rFonts w:hint="eastAsia" w:cs="Calibri" w:asciiTheme="minorHAnsi" w:hAnsiTheme="minorHAnsi"/>
          <w:szCs w:val="21"/>
          <w:lang w:val="en-US" w:eastAsia="zh-CN"/>
        </w:rPr>
        <w:t>15</w:t>
      </w:r>
      <w:r>
        <w:rPr>
          <w:rFonts w:cs="Calibri" w:asciiTheme="minorHAnsi" w:hAnsiTheme="minorHAnsi"/>
          <w:szCs w:val="21"/>
        </w:rPr>
        <w:t>名</w:t>
      </w:r>
      <w:r>
        <w:rPr>
          <w:rFonts w:hint="eastAsia" w:cs="Calibri" w:asciiTheme="minorHAnsi" w:hAnsiTheme="minorHAnsi"/>
          <w:szCs w:val="21"/>
        </w:rPr>
        <w:t>。</w:t>
      </w:r>
    </w:p>
    <w:p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项目申请截止日期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：2020年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4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30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</w:t>
      </w:r>
    </w:p>
    <w:p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仅限本校全日制在校生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本科和研究生均可申请；成绩优异、道德品质好，在校期间未受过纪律处分，身心健康，能顺利完成在英学习任务；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英语要求</w:t>
      </w:r>
      <w:r>
        <w:rPr>
          <w:rFonts w:hint="eastAsia" w:asciiTheme="minorHAnsi" w:hAnsiTheme="minorHAnsi" w:eastAsiaTheme="majorEastAsia" w:cstheme="minorHAnsi"/>
          <w:szCs w:val="21"/>
        </w:rPr>
        <w:t>：不同专业的英语要求有所差异。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 xml:space="preserve">-   </w:t>
      </w:r>
      <w:r>
        <w:rPr>
          <w:rFonts w:asciiTheme="minorHAnsi" w:hAnsiTheme="minorHAnsi" w:eastAsiaTheme="majorEastAsia" w:cstheme="minorHAnsi"/>
          <w:szCs w:val="21"/>
        </w:rPr>
        <w:t>金融</w:t>
      </w:r>
      <w:r>
        <w:rPr>
          <w:rFonts w:hint="eastAsia" w:asciiTheme="minorHAnsi" w:hAnsiTheme="minorHAnsi" w:eastAsiaTheme="majorEastAsia" w:cstheme="minorHAnsi"/>
          <w:szCs w:val="21"/>
        </w:rPr>
        <w:t>、</w:t>
      </w:r>
      <w:r>
        <w:rPr>
          <w:rFonts w:asciiTheme="minorHAnsi" w:hAnsiTheme="minorHAnsi" w:eastAsiaTheme="majorEastAsia" w:cstheme="minorHAnsi"/>
          <w:szCs w:val="21"/>
        </w:rPr>
        <w:t>经济和会计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  <w:r>
        <w:rPr>
          <w:rFonts w:asciiTheme="minorHAnsi" w:hAnsiTheme="minorHAnsi" w:eastAsiaTheme="majorEastAsia" w:cstheme="minorHAnsi"/>
          <w:szCs w:val="21"/>
        </w:rPr>
        <w:t>托福</w:t>
      </w:r>
      <w:r>
        <w:rPr>
          <w:rFonts w:hint="eastAsia" w:asciiTheme="minorHAnsi" w:hAnsiTheme="minorHAnsi" w:eastAsiaTheme="majorEastAsia" w:cstheme="minorHAnsi"/>
          <w:szCs w:val="21"/>
        </w:rPr>
        <w:t>93（单项不低于23），</w:t>
      </w:r>
      <w:r>
        <w:rPr>
          <w:rFonts w:asciiTheme="minorHAnsi" w:hAnsiTheme="minorHAnsi" w:eastAsiaTheme="majorEastAsia" w:cstheme="minorHAnsi"/>
          <w:szCs w:val="21"/>
        </w:rPr>
        <w:t>或雅思6.</w:t>
      </w:r>
      <w:r>
        <w:rPr>
          <w:rFonts w:hint="eastAsia" w:asciiTheme="minorHAnsi" w:hAnsiTheme="minorHAnsi" w:eastAsiaTheme="majorEastAsia" w:cstheme="minorHAnsi"/>
          <w:szCs w:val="21"/>
        </w:rPr>
        <w:t>5（单项不低于6.5）</w:t>
      </w:r>
      <w:r>
        <w:rPr>
          <w:rFonts w:hint="eastAsia"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>-   管理、法律、国际关系、政府和社会：托福成绩不低于107（单项不低于25）；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 xml:space="preserve">   </w:t>
      </w:r>
      <w:r>
        <w:rPr>
          <w:rFonts w:hint="eastAsia" w:asciiTheme="minorHAnsi" w:hAnsiTheme="minorHAnsi" w:eastAsiaTheme="majorEastAsia" w:cstheme="minorHAnsi"/>
          <w:szCs w:val="21"/>
        </w:rPr>
        <w:t>雅思7.0（单项不低于7.0）；</w:t>
      </w:r>
    </w:p>
    <w:p>
      <w:pPr>
        <w:pStyle w:val="20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商务英语：托福79，或雅思6.0或四级达到470分；</w:t>
      </w:r>
    </w:p>
    <w:p>
      <w:pPr>
        <w:pStyle w:val="20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如果没有托福或雅思成绩且希望修读专业课，还可通过以下两种方式：1）大学英语四级或六级（CET-4或CET-6）达到470分, 或英语专业四级（TEM-4）通过，需先读一周英语强化课程，即可继续修读专业课；2）英语专业八级（TEM-8）通过，可直接修读专业课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商务英语课程要求GPA 3.0（相当于80分）；其他学分课程要求GPA 3.3（相当于85分）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家庭具有一定经济基础，能够提供访学所需学费及生活费；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通过全美国际教育协会的项目面试、</w:t>
      </w:r>
      <w:r>
        <w:rPr>
          <w:rFonts w:hint="eastAsia" w:asciiTheme="minorHAnsi" w:hAnsiTheme="minorHAnsi" w:eastAsiaTheme="majorEastAsia" w:cstheme="minorHAnsi"/>
          <w:szCs w:val="21"/>
        </w:rPr>
        <w:t>；伦敦政治经济学院</w:t>
      </w:r>
      <w:r>
        <w:rPr>
          <w:rFonts w:asciiTheme="minorHAnsi" w:hAnsiTheme="minorHAnsi" w:eastAsiaTheme="majorEastAsia" w:cstheme="minorHAnsi"/>
          <w:szCs w:val="21"/>
        </w:rPr>
        <w:t>的学术审核、以及我校院系及国际交流处的派出资格审核。</w:t>
      </w:r>
    </w:p>
    <w:p>
      <w:pPr>
        <w:pStyle w:val="20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学生本人提出申请，在学校国际合作交流处（外事处）报名；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同时登录项目选拔管理机构 -- 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名校访学20</w:t>
      </w:r>
      <w:r>
        <w:rPr>
          <w:rFonts w:hint="eastAsia" w:asciiTheme="minorHAnsi" w:hAnsiTheme="minorHAnsi" w:eastAsiaTheme="majorEastAsia" w:cstheme="minorHAnsi"/>
          <w:szCs w:val="21"/>
        </w:rPr>
        <w:t>20</w:t>
      </w:r>
      <w:r>
        <w:rPr>
          <w:rFonts w:asciiTheme="minorHAnsi" w:hAnsiTheme="minorHAnsi" w:eastAsiaTheme="majorEastAsia" w:cstheme="minorHAnsi"/>
          <w:szCs w:val="21"/>
        </w:rPr>
        <w:t>-20</w:t>
      </w:r>
      <w:r>
        <w:rPr>
          <w:rFonts w:hint="eastAsia" w:asciiTheme="minorHAnsi" w:hAnsiTheme="minorHAnsi" w:eastAsiaTheme="majorEastAsia" w:cstheme="minorHAnsi"/>
          <w:szCs w:val="21"/>
        </w:rPr>
        <w:t>21</w:t>
      </w:r>
      <w:r>
        <w:rPr>
          <w:rFonts w:asciiTheme="minorHAnsi" w:hAnsiTheme="minorHAnsi" w:eastAsiaTheme="majorEastAsia" w:cstheme="minorHAnsi"/>
          <w:szCs w:val="21"/>
        </w:rPr>
        <w:t>学年</w:t>
      </w:r>
      <w:r>
        <w:rPr>
          <w:rFonts w:hint="eastAsia" w:asciiTheme="minorHAnsi" w:hAnsiTheme="minorHAnsi" w:eastAsiaTheme="majorEastAsia" w:cstheme="minorHAnsi"/>
          <w:szCs w:val="21"/>
        </w:rPr>
        <w:t>夏秋</w:t>
      </w:r>
      <w:r>
        <w:rPr>
          <w:rFonts w:asciiTheme="minorHAnsi" w:hAnsiTheme="minorHAnsi" w:eastAsiaTheme="majorEastAsia" w:cstheme="minorHAnsi"/>
          <w:szCs w:val="21"/>
        </w:rPr>
        <w:t>项目报名表》，网上报名的时间决定录取的顺序和安排宿舍的顺序；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学生申请资料经初步审核后，参加面试确定预录取名单；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学生提交正式申请材料并缴纳项目费用，获得学校录取及签证后赴</w:t>
      </w:r>
      <w:r>
        <w:rPr>
          <w:rFonts w:hint="eastAsia" w:asciiTheme="minorHAnsi" w:hAnsiTheme="minorHAnsi" w:eastAsiaTheme="majorEastAsia" w:cstheme="minorHAnsi"/>
          <w:szCs w:val="21"/>
        </w:rPr>
        <w:t>英</w:t>
      </w:r>
      <w:r>
        <w:rPr>
          <w:rFonts w:asciiTheme="minorHAnsi" w:hAnsiTheme="minorHAnsi" w:eastAsiaTheme="majorEastAsia" w:cstheme="minorHAnsi"/>
          <w:szCs w:val="21"/>
        </w:rPr>
        <w:t>学习</w:t>
      </w:r>
      <w:r>
        <w:rPr>
          <w:rFonts w:cs="Calibri" w:asciiTheme="minorHAnsi" w:hAnsiTheme="minorHAnsi"/>
          <w:sz w:val="22"/>
        </w:rPr>
        <w:t>；</w:t>
      </w:r>
    </w:p>
    <w:p>
      <w:pPr>
        <w:pStyle w:val="20"/>
        <w:numPr>
          <w:ilvl w:val="0"/>
          <w:numId w:val="0"/>
        </w:numPr>
        <w:spacing w:line="360" w:lineRule="auto"/>
        <w:ind w:leftChars="0"/>
        <w:rPr>
          <w:rFonts w:hint="default" w:asciiTheme="minorHAnsi" w:hAnsiTheme="minorHAnsi" w:eastAsiaTheme="majorEastAsia" w:cstheme="minorHAnsi"/>
          <w:b/>
          <w:kern w:val="0"/>
          <w:szCs w:val="21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lang w:val="en-US" w:eastAsia="zh-CN"/>
        </w:rPr>
        <w:t>5、咨询方式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eastAsia="宋体" w:cs="Calibri" w:asciiTheme="minorHAnsi" w:hAnsiTheme="minorHAnsi"/>
          <w:kern w:val="2"/>
          <w:sz w:val="21"/>
          <w:szCs w:val="21"/>
          <w:lang w:val="en-US" w:eastAsia="zh-CN" w:bidi="ar-SA"/>
        </w:rPr>
        <w:t>全美国际教育协会咨询老师：</w:t>
      </w:r>
      <w:r>
        <w:rPr>
          <w:rFonts w:eastAsia="宋体" w:cs="Calibri" w:asciiTheme="minorHAnsi" w:hAnsiTheme="minorHAnsi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eastAsia="宋体" w:cs="Calibri" w:asciiTheme="minorHAnsi" w:hAnsiTheme="minorHAnsi"/>
          <w:kern w:val="2"/>
          <w:sz w:val="21"/>
          <w:szCs w:val="21"/>
          <w:lang w:val="en-US" w:eastAsia="zh-CN" w:bidi="ar-SA"/>
        </w:rPr>
        <w:t>曾老师：189 2278 0945  邮箱：violet.zeng@usiea.org</w:t>
      </w:r>
      <w:r>
        <w:rPr>
          <w:rFonts w:eastAsia="宋体" w:cs="Calibri" w:asciiTheme="minorHAnsi" w:hAnsiTheme="minorHAnsi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eastAsia="宋体" w:cs="Calibri" w:asciiTheme="minorHAnsi" w:hAnsiTheme="minorHAnsi"/>
          <w:kern w:val="2"/>
          <w:sz w:val="21"/>
          <w:szCs w:val="21"/>
          <w:lang w:val="en-US" w:eastAsia="zh-CN" w:bidi="ar-SA"/>
        </w:rPr>
        <w:t>朱老师：138 2976 1018  邮箱：julia.zhu@usiea.org  </w:t>
      </w: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全美国际教育协会官微：全美国际访学微刊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"mailto:visitlse@yeah.net"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visit</w:t>
      </w:r>
      <w:r>
        <w:rPr>
          <w:rFonts w:hint="eastAsia" w:cs="Calibri" w:asciiTheme="minorHAnsi" w:hAnsiTheme="minorHAnsi"/>
          <w:color w:val="0068B7"/>
          <w:kern w:val="0"/>
          <w:sz w:val="22"/>
        </w:rPr>
        <w:t>lse</w:t>
      </w:r>
      <w:r>
        <w:rPr>
          <w:rFonts w:cs="Calibri" w:asciiTheme="minorHAnsi" w:hAnsiTheme="minorHAnsi"/>
          <w:color w:val="0068B7"/>
          <w:kern w:val="0"/>
          <w:sz w:val="22"/>
        </w:rPr>
        <w:t>@yeah.net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-651510</wp:posOffset>
            </wp:positionV>
            <wp:extent cx="857885" cy="299720"/>
            <wp:effectExtent l="0" t="0" r="0" b="508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/>
          <w:b/>
          <w:color w:val="1F497D"/>
          <w:sz w:val="36"/>
        </w:rPr>
        <w:t>附件：</w:t>
      </w:r>
      <w:r>
        <w:rPr>
          <w:b/>
          <w:color w:val="1F497D"/>
          <w:sz w:val="36"/>
        </w:rPr>
        <w:t>伦敦政治经济学院</w:t>
      </w: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asciiTheme="minorHAnsi" w:hAnsiTheme="minorHAnsi" w:cstheme="minorHAnsi"/>
          <w:b/>
          <w:color w:val="1F497D"/>
          <w:sz w:val="36"/>
        </w:rPr>
        <w:t>2020</w:t>
      </w:r>
      <w:r>
        <w:rPr>
          <w:b/>
          <w:color w:val="1F497D"/>
          <w:sz w:val="36"/>
        </w:rPr>
        <w:t>暑期专业</w:t>
      </w:r>
      <w:r>
        <w:rPr>
          <w:rFonts w:hint="eastAsia"/>
          <w:b/>
          <w:color w:val="1F497D"/>
          <w:sz w:val="36"/>
        </w:rPr>
        <w:t>学习</w:t>
      </w:r>
      <w:r>
        <w:rPr>
          <w:b/>
          <w:color w:val="1F497D"/>
          <w:sz w:val="36"/>
        </w:rPr>
        <w:t>课程选课表</w:t>
      </w:r>
    </w:p>
    <w:p>
      <w:pPr>
        <w:spacing w:line="360" w:lineRule="auto"/>
        <w:rPr>
          <w:rFonts w:eastAsiaTheme="minorEastAsia"/>
          <w:sz w:val="22"/>
          <w:szCs w:val="22"/>
        </w:rPr>
      </w:pP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7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第一期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年6月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22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日–7月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10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第二期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年7月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13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日–7月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31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第三期</w:t>
            </w:r>
            <w:r>
              <w:rPr>
                <w:rFonts w:hint="eastAsia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年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8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3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日–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8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21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日</w:t>
            </w:r>
          </w:p>
        </w:tc>
      </w:tr>
    </w:tbl>
    <w:p/>
    <w:p/>
    <w:p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Accounting (会计学)</w:t>
      </w:r>
    </w:p>
    <w:p>
      <w:pPr>
        <w:rPr>
          <w:rFonts w:asciiTheme="minorHAnsi" w:hAnsiTheme="minorHAnsi" w:cstheme="minorHAnsi"/>
          <w:b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AC210：</w:t>
            </w:r>
            <w:r>
              <w:rPr>
                <w:rFonts w:hint="eastAsia" w:asciiTheme="minorHAnsi" w:hAnsiTheme="minorHAnsi" w:cstheme="minorHAnsi"/>
              </w:rPr>
              <w:t>投资银行与资产管理的</w:t>
            </w:r>
            <w:r>
              <w:rPr>
                <w:rFonts w:asciiTheme="minorHAnsi" w:hAnsiTheme="minorHAnsi" w:cstheme="minorHAnsi"/>
              </w:rPr>
              <w:t>财务报表</w:t>
            </w:r>
            <w:r>
              <w:rPr>
                <w:rFonts w:hint="eastAsia" w:asciiTheme="minorHAnsi" w:hAnsiTheme="minorHAnsi" w:cstheme="minorHAnsi"/>
              </w:rPr>
              <w:t>分析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AC101：管理会计与财务控制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AC215：</w:t>
            </w:r>
            <w:r>
              <w:rPr>
                <w:rFonts w:hint="eastAsia" w:asciiTheme="minorHAnsi" w:hAnsiTheme="minorHAnsi" w:cstheme="minorHAnsi"/>
              </w:rPr>
              <w:t>商业</w:t>
            </w:r>
            <w:r>
              <w:rPr>
                <w:rFonts w:asciiTheme="minorHAnsi" w:hAnsiTheme="minorHAnsi" w:cstheme="minorHAnsi"/>
              </w:rPr>
              <w:t>分析与</w:t>
            </w:r>
            <w:r>
              <w:rPr>
                <w:rFonts w:hint="eastAsia" w:asciiTheme="minorHAnsi" w:hAnsiTheme="minorHAnsi" w:cstheme="minorHAnsi"/>
              </w:rPr>
              <w:t>估值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AC201：决策绩效评估</w:t>
            </w:r>
          </w:p>
        </w:tc>
      </w:tr>
    </w:tbl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Business and Management (商科与管理)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MG130：组织</w:t>
            </w:r>
            <w:r>
              <w:rPr>
                <w:rFonts w:hint="eastAsia" w:asciiTheme="minorHAnsi" w:hAnsiTheme="minorHAnsi" w:cstheme="minorHAnsi"/>
              </w:rPr>
              <w:t>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MG133：管理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MG190：人力资源管理与</w:t>
            </w:r>
            <w:r>
              <w:rPr>
                <w:rFonts w:hint="eastAsia" w:asciiTheme="minorHAnsi" w:hAnsiTheme="minorHAnsi" w:cstheme="minorHAnsi"/>
              </w:rPr>
              <w:t>就业</w:t>
            </w:r>
            <w:r>
              <w:rPr>
                <w:rFonts w:asciiTheme="minorHAnsi" w:hAnsiTheme="minorHAnsi" w:cstheme="minorHAnsi"/>
              </w:rPr>
              <w:t>关系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MG209：谈判与协商：利益、信息、战略与权力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MG103：消费者行为：营销和管理的行为基础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MG105：社会创新与创业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MG110：决策的科学与艺术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MG203：市场</w:t>
            </w:r>
            <w:r>
              <w:rPr>
                <w:rFonts w:hint="eastAsia" w:asciiTheme="minorHAnsi" w:hAnsiTheme="minorHAnsi" w:cstheme="minorHAnsi"/>
              </w:rPr>
              <w:t>与</w:t>
            </w:r>
            <w:r>
              <w:rPr>
                <w:rFonts w:asciiTheme="minorHAnsi" w:hAnsiTheme="minorHAnsi" w:cstheme="minorHAnsi"/>
              </w:rPr>
              <w:t>增长的战略管理：欧洲的产业政策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MG204：组织领导力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MG220：</w:t>
            </w:r>
            <w:r>
              <w:rPr>
                <w:rFonts w:hint="eastAsia" w:asciiTheme="minorHAnsi" w:hAnsiTheme="minorHAnsi" w:cstheme="minorHAnsi"/>
              </w:rPr>
              <w:t>企业</w:t>
            </w:r>
            <w:r>
              <w:rPr>
                <w:rFonts w:asciiTheme="minorHAnsi" w:hAnsiTheme="minorHAnsi" w:cstheme="minorHAnsi"/>
              </w:rPr>
              <w:t>和组织战略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MG250：电子商务管理与经济学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MG300：谈判训练营：谈判艺术</w:t>
            </w:r>
            <w:r>
              <w:rPr>
                <w:rFonts w:hint="eastAsia" w:asciiTheme="minorHAnsi" w:hAnsiTheme="minorHAnsi" w:cstheme="minorHAnsi"/>
              </w:rPr>
              <w:t>中</w:t>
            </w:r>
            <w:r>
              <w:rPr>
                <w:rFonts w:asciiTheme="minorHAnsi" w:hAnsiTheme="minorHAnsi" w:cstheme="minorHAnsi"/>
              </w:rPr>
              <w:t>的</w:t>
            </w:r>
            <w:r>
              <w:rPr>
                <w:rFonts w:hint="eastAsia" w:asciiTheme="minorHAnsi" w:hAnsiTheme="minorHAnsi" w:cstheme="minorHAnsi"/>
              </w:rPr>
              <w:t>自我</w:t>
            </w:r>
            <w:r>
              <w:rPr>
                <w:rFonts w:asciiTheme="minorHAnsi" w:hAnsiTheme="minorHAnsi" w:cstheme="minorHAnsi"/>
              </w:rPr>
              <w:t>掌</w:t>
            </w:r>
            <w:r>
              <w:rPr>
                <w:rFonts w:hint="eastAsia" w:asciiTheme="minorHAnsi" w:hAnsiTheme="minorHAnsi" w:cstheme="minorHAnsi"/>
              </w:rPr>
              <w:t>控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</w:t>
            </w:r>
            <w:r>
              <w:rPr>
                <w:rFonts w:hint="eastAsia" w:asciiTheme="minorHAnsi" w:hAnsiTheme="minorHAnsi" w:cstheme="minorHAnsi"/>
              </w:rPr>
              <w:t>104：创新管理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MG205：竞争战略与博弈论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MG206：国际和新兴市场的商业战略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Economics (经济学)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EC101：</w:t>
            </w:r>
            <w:r>
              <w:rPr>
                <w:rFonts w:hint="eastAsia" w:asciiTheme="minorHAnsi" w:hAnsiTheme="minorHAnsi" w:cstheme="minorHAnsi"/>
              </w:rPr>
              <w:t>微</w:t>
            </w:r>
            <w:r>
              <w:rPr>
                <w:rFonts w:asciiTheme="minorHAnsi" w:hAnsiTheme="minorHAnsi" w:cstheme="minorHAnsi"/>
              </w:rPr>
              <w:t>观经济学导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EC201：中级微观经济学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EC203：房地产经济学与金融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EC204：金融市场与全球经济：泡沫、崩溃和通胀</w:t>
            </w:r>
            <w:r>
              <w:rPr>
                <w:rFonts w:hint="eastAsia" w:asciiTheme="minorHAnsi" w:hAnsiTheme="minorHAnsi" w:cstheme="minorHAnsi"/>
              </w:rPr>
              <w:t>膨胀</w:t>
            </w:r>
            <w:r>
              <w:rPr>
                <w:rFonts w:asciiTheme="minorHAnsi" w:hAnsiTheme="minorHAnsi" w:cstheme="minorHAnsi"/>
              </w:rPr>
              <w:t>的历史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EC212：计量经济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C</w:t>
            </w:r>
            <w:r>
              <w:rPr>
                <w:rFonts w:hint="eastAsia" w:asciiTheme="minorHAnsi" w:hAnsiTheme="minorHAnsi" w:cstheme="minorHAnsi"/>
              </w:rPr>
              <w:t>315：计算经济学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EC351：国际经济学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EC102：宏观经济学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EC200：行为经济学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EC202：中级宏观经济学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EC240：环境经济学与可持续发展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EC260：公共政策的政治经济学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EC270：公共财政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EC307：发展经济学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EC320：应用计量经济学和大数据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EC341：产业组织与竞争政策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EC101: 微观经济学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EC102 : 宏观经济学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EC104：福利国家（与贫困国家）：全球经济</w:t>
            </w:r>
            <w:r>
              <w:rPr>
                <w:rFonts w:hint="eastAsia" w:asciiTheme="minorHAnsi" w:hAnsiTheme="minorHAnsi" w:cstheme="minorHAnsi"/>
              </w:rPr>
              <w:t>发展的历史与现状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EC212：计量经济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EC235：欧洲一体化经济学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EC312：高级计量经济学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EC321：货币与银行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</w:tc>
      </w:tr>
    </w:tbl>
    <w:p>
      <w:pPr>
        <w:spacing w:line="200" w:lineRule="exact"/>
        <w:rPr>
          <w:rFonts w:asciiTheme="minorHAnsi" w:hAnsiTheme="minorHAnsi" w:cstheme="minorHAnsi"/>
          <w:b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English Language (英语)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</w:rPr>
        <w:t>LN104：商务英语（仅在第三期开设）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Finance (金融</w:t>
      </w:r>
      <w:r>
        <w:rPr>
          <w:rFonts w:hint="eastAsia" w:asciiTheme="minorHAnsi" w:hAnsiTheme="minorHAnsi" w:cstheme="minorHAnsi"/>
          <w:b/>
          <w:sz w:val="24"/>
          <w:u w:val="single"/>
        </w:rPr>
        <w:t>学</w:t>
      </w:r>
      <w:r>
        <w:rPr>
          <w:rFonts w:asciiTheme="minorHAnsi" w:hAnsiTheme="minorHAnsi" w:cstheme="minorHAnsi"/>
          <w:b/>
          <w:sz w:val="24"/>
          <w:u w:val="single"/>
        </w:rPr>
        <w:t>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FM360：期权、期货和其他金融衍生品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FM202：金融风险分析与管理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FM225：固定收益证券、债券市场和宏观经济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FM255：金融市场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FM350：高级公司</w:t>
            </w:r>
            <w:r>
              <w:rPr>
                <w:rFonts w:hint="eastAsia" w:asciiTheme="minorHAnsi" w:hAnsiTheme="minorHAnsi" w:cstheme="minorHAnsi"/>
              </w:rPr>
              <w:t>金融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International Relations, Government, Psychology and Society (国际关系、政府、心理学与社会)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9"/>
        <w:gridCol w:w="2821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IR106：从萨拉热窝到巴格达：关于战争与和平的</w:t>
            </w:r>
            <w:r>
              <w:rPr>
                <w:rFonts w:hint="eastAsia" w:asciiTheme="minorHAnsi" w:hAnsiTheme="minorHAnsi" w:cstheme="minorHAnsi"/>
              </w:rPr>
              <w:t>关键决策（</w:t>
            </w:r>
            <w:r>
              <w:rPr>
                <w:rFonts w:asciiTheme="minorHAnsi" w:hAnsiTheme="minorHAnsi" w:cstheme="minorHAnsi"/>
              </w:rPr>
              <w:t>1914-2003</w:t>
            </w:r>
            <w:r>
              <w:rPr>
                <w:rFonts w:hint="eastAsia" w:asciiTheme="minorHAnsi" w:hAnsiTheme="minorHAnsi" w:cstheme="minorHAnsi"/>
              </w:rPr>
              <w:t>）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IR115：文化与全球化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IR130：</w:t>
            </w:r>
            <w:r>
              <w:rPr>
                <w:rFonts w:hint="eastAsia" w:asciiTheme="minorHAnsi" w:hAnsiTheme="minorHAnsi" w:cstheme="minorHAnsi"/>
              </w:rPr>
              <w:t>战争、权力与道义</w:t>
            </w:r>
            <w:r>
              <w:rPr>
                <w:rFonts w:asciiTheme="minorHAnsi" w:hAnsiTheme="minorHAnsi" w:cstheme="minorHAnsi"/>
              </w:rPr>
              <w:t>：政治理论和国际政治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IR160：全球政治中的中东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IR203：城市化世界：全球城市的未来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IR209：国际政治经济</w:t>
            </w:r>
            <w:r>
              <w:rPr>
                <w:rFonts w:hint="eastAsia" w:asciiTheme="minorHAnsi" w:hAnsiTheme="minorHAnsi" w:cstheme="minorHAnsi"/>
              </w:rPr>
              <w:t>学：21世纪的国家与市场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IR211：美国</w:t>
            </w:r>
            <w:r>
              <w:rPr>
                <w:rFonts w:hint="eastAsia" w:asciiTheme="minorHAnsi" w:hAnsiTheme="minorHAnsi" w:cstheme="minorHAnsi"/>
              </w:rPr>
              <w:t>作为全球大国</w:t>
            </w:r>
            <w:r>
              <w:rPr>
                <w:rFonts w:asciiTheme="minorHAnsi" w:hAnsiTheme="minorHAnsi" w:cstheme="minorHAnsi"/>
              </w:rPr>
              <w:t>：从罗斯福到特朗普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IR215：</w:t>
            </w:r>
            <w:r>
              <w:rPr>
                <w:rFonts w:hint="eastAsia" w:asciiTheme="minorHAnsi" w:hAnsiTheme="minorHAnsi" w:cstheme="minorHAnsi"/>
              </w:rPr>
              <w:t>战火、饥荒与冲突：</w:t>
            </w:r>
            <w:r>
              <w:rPr>
                <w:rFonts w:asciiTheme="minorHAnsi" w:hAnsiTheme="minorHAnsi" w:cstheme="minorHAnsi"/>
              </w:rPr>
              <w:t>人道主义干预的政治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IR245：国际新闻与社会——媒体在现代世界中的作用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IR270：什么样的欧洲？危机、改革</w:t>
            </w:r>
            <w:r>
              <w:rPr>
                <w:rFonts w:hint="eastAsia" w:asciiTheme="minorHAnsi" w:hAnsiTheme="minorHAnsi" w:cstheme="minorHAnsi"/>
              </w:rPr>
              <w:t>与</w:t>
            </w:r>
            <w:r>
              <w:rPr>
                <w:rFonts w:asciiTheme="minorHAnsi" w:hAnsiTheme="minorHAnsi" w:cstheme="minorHAnsi"/>
              </w:rPr>
              <w:t>欧盟的国际作用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IR102：资本主义、民主与平等：发达国家的政治经济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IR105：</w:t>
            </w:r>
            <w:r>
              <w:rPr>
                <w:rFonts w:hint="eastAsia" w:asciiTheme="minorHAnsi" w:hAnsiTheme="minorHAnsi" w:cstheme="minorHAnsi"/>
              </w:rPr>
              <w:t>理</w:t>
            </w:r>
            <w:r>
              <w:rPr>
                <w:rFonts w:asciiTheme="minorHAnsi" w:hAnsiTheme="minorHAnsi" w:cstheme="minorHAnsi"/>
              </w:rPr>
              <w:t>解外交政策：战争、利益和</w:t>
            </w:r>
            <w:r>
              <w:rPr>
                <w:rFonts w:hint="eastAsia" w:asciiTheme="minorHAnsi" w:hAnsiTheme="minorHAnsi" w:cstheme="minorHAnsi"/>
              </w:rPr>
              <w:t>正义</w:t>
            </w:r>
            <w:r>
              <w:rPr>
                <w:rFonts w:asciiTheme="minorHAnsi" w:hAnsiTheme="minorHAnsi" w:cstheme="minorHAnsi"/>
              </w:rPr>
              <w:t>的外交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IR120：贸易、发展和环境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IR140：全球传播、公民和文化政治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IR200：国际组织：</w:t>
            </w:r>
            <w:r>
              <w:rPr>
                <w:rFonts w:hint="eastAsia" w:asciiTheme="minorHAnsi" w:hAnsiTheme="minorHAnsi" w:cstheme="minorHAnsi"/>
              </w:rPr>
              <w:t>分化世界中的</w:t>
            </w:r>
            <w:r>
              <w:rPr>
                <w:rFonts w:asciiTheme="minorHAnsi" w:hAnsiTheme="minorHAnsi" w:cstheme="minorHAnsi"/>
              </w:rPr>
              <w:t>全球治理</w:t>
            </w:r>
            <w:r>
              <w:rPr>
                <w:rFonts w:hint="eastAsia" w:asciiTheme="minorHAnsi" w:hAnsiTheme="minorHAnsi" w:cstheme="minorHAnsi"/>
              </w:rPr>
              <w:t>挑战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IR201：权力转移：西方的衰落、金砖</w:t>
            </w:r>
            <w:r>
              <w:rPr>
                <w:rFonts w:hint="eastAsia" w:asciiTheme="minorHAnsi" w:hAnsiTheme="minorHAnsi" w:cstheme="minorHAnsi"/>
              </w:rPr>
              <w:t>国家</w:t>
            </w:r>
            <w:r>
              <w:rPr>
                <w:rFonts w:asciiTheme="minorHAnsi" w:hAnsiTheme="minorHAnsi" w:cstheme="minorHAnsi"/>
              </w:rPr>
              <w:t>的崛起和亚洲</w:t>
            </w:r>
            <w:r>
              <w:rPr>
                <w:rFonts w:hint="eastAsia" w:asciiTheme="minorHAnsi" w:hAnsiTheme="minorHAnsi" w:cstheme="minorHAnsi"/>
              </w:rPr>
              <w:t>新</w:t>
            </w:r>
            <w:r>
              <w:rPr>
                <w:rFonts w:asciiTheme="minorHAnsi" w:hAnsiTheme="minorHAnsi" w:cstheme="minorHAnsi"/>
              </w:rPr>
              <w:t>世纪的世界秩序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IR204：国际移民、社会融合和公共政策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IR205：伊斯兰教与政治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IR210：从冲突中建立民主</w:t>
            </w:r>
            <w:r>
              <w:rPr>
                <w:rFonts w:hint="eastAsia" w:asciiTheme="minorHAnsi" w:hAnsiTheme="minorHAnsi" w:cstheme="minorHAnsi"/>
              </w:rPr>
              <w:t>：暴力、权力共享与体制设计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IR250：</w:t>
            </w:r>
            <w:r>
              <w:rPr>
                <w:rFonts w:hint="eastAsia" w:asciiTheme="minorHAnsi" w:hAnsiTheme="minorHAnsi" w:cstheme="minorHAnsi"/>
              </w:rPr>
              <w:t>全球公民社会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IR100：伟大的思想家和</w:t>
            </w:r>
            <w:r>
              <w:rPr>
                <w:rFonts w:hint="eastAsia" w:asciiTheme="minorHAnsi" w:hAnsiTheme="minorHAnsi" w:cstheme="minorHAnsi"/>
              </w:rPr>
              <w:t>领导者</w:t>
            </w:r>
            <w:r>
              <w:rPr>
                <w:rFonts w:asciiTheme="minorHAnsi" w:hAnsiTheme="minorHAnsi" w:cstheme="minorHAnsi"/>
              </w:rPr>
              <w:t>：塑造全球秩序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</w:t>
            </w:r>
            <w:r>
              <w:rPr>
                <w:rFonts w:hint="eastAsia"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不同文化中的童年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IR104：治理气候和环境变化：科学、政策和政治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IR110：心理学基础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IR207：国际政治经济</w:t>
            </w:r>
            <w:r>
              <w:rPr>
                <w:rFonts w:hint="eastAsia" w:asciiTheme="minorHAnsi" w:hAnsiTheme="minorHAnsi" w:cstheme="minorHAnsi"/>
              </w:rPr>
              <w:t>学的</w:t>
            </w:r>
            <w:r>
              <w:rPr>
                <w:rFonts w:asciiTheme="minorHAnsi" w:hAnsiTheme="minorHAnsi" w:cstheme="minorHAnsi"/>
              </w:rPr>
              <w:t>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IR214：公共政策分析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</w:t>
            </w:r>
            <w:r>
              <w:rPr>
                <w:rFonts w:hint="eastAsia" w:asciiTheme="minorHAnsi" w:hAnsiTheme="minorHAnsi" w:cstheme="minorHAnsi"/>
              </w:rPr>
              <w:t>218：全球卫生：科学、政治与发展</w:t>
            </w:r>
          </w:p>
        </w:tc>
      </w:tr>
    </w:tbl>
    <w:p>
      <w:pPr>
        <w:rPr>
          <w:rFonts w:asciiTheme="minorHAnsi" w:hAnsiTheme="minorHAnsi" w:cstheme="minorHAnsi"/>
          <w:kern w:val="0"/>
          <w:szCs w:val="20"/>
        </w:rPr>
      </w:pPr>
    </w:p>
    <w:p>
      <w:pPr>
        <w:rPr>
          <w:rFonts w:asciiTheme="minorHAnsi" w:hAnsiTheme="minorHAnsi" w:cstheme="minorHAnsi"/>
          <w:kern w:val="0"/>
          <w:szCs w:val="20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Law (法律)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LL102：国际人权</w:t>
            </w:r>
            <w:r>
              <w:rPr>
                <w:rFonts w:hint="eastAsia" w:asciiTheme="minorHAnsi" w:hAnsiTheme="minorHAnsi" w:cstheme="minorHAnsi"/>
              </w:rPr>
              <w:t>概</w:t>
            </w:r>
            <w:r>
              <w:rPr>
                <w:rFonts w:asciiTheme="minorHAnsi" w:hAnsiTheme="minorHAnsi" w:cstheme="minorHAnsi"/>
              </w:rPr>
              <w:t>论：理论、法律和实践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LL135：公司法与</w:t>
            </w:r>
            <w:r>
              <w:rPr>
                <w:rFonts w:hint="eastAsia" w:asciiTheme="minorHAnsi" w:hAnsiTheme="minorHAnsi" w:cstheme="minorHAnsi"/>
              </w:rPr>
              <w:t>公司</w:t>
            </w:r>
            <w:r>
              <w:rPr>
                <w:rFonts w:asciiTheme="minorHAnsi" w:hAnsiTheme="minorHAnsi" w:cstheme="minorHAnsi"/>
              </w:rPr>
              <w:t>治理概论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LL202：商法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LL206：国际金融法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LL209：比较人权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L300</w:t>
            </w:r>
            <w:r>
              <w:rPr>
                <w:rFonts w:hint="eastAsia" w:asciiTheme="minorHAnsi" w:hAnsiTheme="minorHAnsi" w:cstheme="minorHAnsi"/>
              </w:rPr>
              <w:t>：高级谈判和调解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LL105: 国际法：当代问题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LL203: 国际商</w:t>
            </w:r>
            <w:r>
              <w:rPr>
                <w:rFonts w:hint="eastAsia" w:asciiTheme="minorHAnsi" w:hAnsiTheme="minorHAnsi" w:cstheme="minorHAnsi"/>
              </w:rPr>
              <w:t>业</w:t>
            </w:r>
            <w:r>
              <w:rPr>
                <w:rFonts w:asciiTheme="minorHAnsi" w:hAnsiTheme="minorHAnsi" w:cstheme="minorHAnsi"/>
              </w:rPr>
              <w:t>诉讼与仲裁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LL204: 网络法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LL207：国际金融</w:t>
            </w:r>
            <w:r>
              <w:rPr>
                <w:rFonts w:hint="eastAsia" w:asciiTheme="minorHAnsi" w:hAnsiTheme="minorHAnsi" w:cstheme="minorHAnsi"/>
              </w:rPr>
              <w:t>监管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LL210：避税</w:t>
            </w:r>
            <w:r>
              <w:rPr>
                <w:rFonts w:hint="eastAsia" w:asciiTheme="minorHAnsi" w:hAnsiTheme="minorHAnsi" w:cstheme="minorHAnsi"/>
              </w:rPr>
              <w:t>和法律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</w:t>
            </w:r>
            <w:r>
              <w:rPr>
                <w:rFonts w:hint="eastAsia" w:asciiTheme="minorHAnsi" w:hAnsiTheme="minorHAnsi" w:cstheme="minorHAnsi"/>
              </w:rPr>
              <w:t>100：欧盟法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LL110：税收、司法和社会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LL200：竞争法与</w:t>
            </w:r>
            <w:r>
              <w:rPr>
                <w:rFonts w:hint="eastAsia" w:asciiTheme="minorHAnsi" w:hAnsiTheme="minorHAnsi" w:cstheme="minorHAnsi"/>
              </w:rPr>
              <w:t>竞争</w:t>
            </w:r>
            <w:r>
              <w:rPr>
                <w:rFonts w:asciiTheme="minorHAnsi" w:hAnsiTheme="minorHAnsi" w:cstheme="minorHAnsi"/>
              </w:rPr>
              <w:t>政策：控制私人权力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LL208：言论</w:t>
            </w:r>
            <w:r>
              <w:rPr>
                <w:rFonts w:hint="eastAsia" w:asciiTheme="minorHAnsi" w:hAnsiTheme="minorHAnsi" w:cstheme="minorHAnsi"/>
              </w:rPr>
              <w:t>自由</w:t>
            </w:r>
            <w:r>
              <w:rPr>
                <w:rFonts w:asciiTheme="minorHAnsi" w:hAnsiTheme="minorHAnsi" w:cstheme="minorHAnsi"/>
              </w:rPr>
              <w:t>、媒体和法律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LL301：公司</w:t>
            </w:r>
            <w:r>
              <w:rPr>
                <w:rFonts w:hint="eastAsia" w:asciiTheme="minorHAnsi" w:hAnsiTheme="minorHAnsi" w:cstheme="minorHAnsi"/>
              </w:rPr>
              <w:t>财务</w:t>
            </w:r>
            <w:r>
              <w:rPr>
                <w:rFonts w:asciiTheme="minorHAnsi" w:hAnsiTheme="minorHAnsi" w:cstheme="minorHAnsi"/>
              </w:rPr>
              <w:t>法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Research Methods, Data Science, and Mathematics (研究方法、数据科学与数学)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ME100：微积分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ME116：经济学和计量经济学的基本统计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ME200：金融数学的计算方法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202：社交网络分析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ME303：社会科学研究中的多元数据统计方法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ME315：机器学习实践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ME306：真实分析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</w:t>
            </w:r>
            <w:r>
              <w:rPr>
                <w:rFonts w:hint="eastAsia" w:asciiTheme="minorHAnsi" w:hAnsiTheme="minorHAnsi" w:cstheme="minorHAnsi"/>
              </w:rPr>
              <w:t>316：大型时序数据的预测方法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117：经济学也计量经济学的进阶统计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ME201：</w:t>
            </w:r>
            <w:r>
              <w:rPr>
                <w:rFonts w:hint="eastAsia" w:asciiTheme="minorHAnsi" w:hAnsiTheme="minorHAnsi" w:cstheme="minorHAnsi"/>
              </w:rPr>
              <w:t>优化投资</w:t>
            </w:r>
            <w:r>
              <w:rPr>
                <w:rFonts w:asciiTheme="minorHAnsi" w:hAnsiTheme="minorHAnsi" w:cstheme="minorHAnsi"/>
              </w:rPr>
              <w:t>组合选择中的应用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ME301：调查研究方法：从设计到分析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ME302：金融数学</w:t>
            </w:r>
            <w:r>
              <w:rPr>
                <w:rFonts w:hint="eastAsia" w:asciiTheme="minorHAnsi" w:hAnsiTheme="minorHAnsi" w:cstheme="minorHAnsi"/>
              </w:rPr>
              <w:t>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ME305：定性研究方法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ME310：</w:t>
            </w:r>
            <w:r>
              <w:rPr>
                <w:rFonts w:hint="eastAsia" w:asciiTheme="minorHAnsi" w:hAnsiTheme="minorHAnsi" w:cstheme="minorHAnsi"/>
              </w:rPr>
              <w:t>评估结果的实验和准实验方法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ME314：数据科学与机器学习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ME317：风险管理的统计方法</w:t>
            </w:r>
          </w:p>
        </w:tc>
      </w:tr>
    </w:tbl>
    <w:p>
      <w:pPr>
        <w:spacing w:line="200" w:lineRule="exact"/>
        <w:rPr>
          <w:rFonts w:asciiTheme="minorHAnsi" w:hAnsiTheme="minorHAnsi" w:cstheme="minorHAnsi"/>
          <w:kern w:val="0"/>
          <w:szCs w:val="20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F1874"/>
    <w:multiLevelType w:val="multilevel"/>
    <w:tmpl w:val="1D4F187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20F21582"/>
    <w:multiLevelType w:val="multilevel"/>
    <w:tmpl w:val="20F21582"/>
    <w:lvl w:ilvl="0" w:tentative="0">
      <w:start w:val="3"/>
      <w:numFmt w:val="bullet"/>
      <w:lvlText w:val="-"/>
      <w:lvlJc w:val="left"/>
      <w:pPr>
        <w:ind w:left="930" w:hanging="360"/>
      </w:pPr>
      <w:rPr>
        <w:rFonts w:hint="default" w:ascii="Calibri" w:hAnsi="Calibri" w:cs="Calibri" w:eastAsiaTheme="majorEastAsia"/>
      </w:rPr>
    </w:lvl>
    <w:lvl w:ilvl="1" w:tentative="0">
      <w:start w:val="1"/>
      <w:numFmt w:val="bullet"/>
      <w:lvlText w:val=""/>
      <w:lvlJc w:val="left"/>
      <w:pPr>
        <w:ind w:left="14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50" w:hanging="420"/>
      </w:pPr>
      <w:rPr>
        <w:rFonts w:hint="default" w:ascii="Wingdings" w:hAnsi="Wingdings"/>
      </w:r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69DD"/>
    <w:rsid w:val="0001734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F93"/>
    <w:rsid w:val="001370FA"/>
    <w:rsid w:val="00137744"/>
    <w:rsid w:val="00143294"/>
    <w:rsid w:val="00146AB9"/>
    <w:rsid w:val="00150193"/>
    <w:rsid w:val="001535A1"/>
    <w:rsid w:val="00155FCC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3684E"/>
    <w:rsid w:val="00240E4E"/>
    <w:rsid w:val="002441C6"/>
    <w:rsid w:val="002449A1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326"/>
    <w:rsid w:val="00295361"/>
    <w:rsid w:val="002954BF"/>
    <w:rsid w:val="00296088"/>
    <w:rsid w:val="00296348"/>
    <w:rsid w:val="00297E1A"/>
    <w:rsid w:val="002A32D9"/>
    <w:rsid w:val="002A3386"/>
    <w:rsid w:val="002A402F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EF0"/>
    <w:rsid w:val="00333C15"/>
    <w:rsid w:val="00334EC1"/>
    <w:rsid w:val="00342D9D"/>
    <w:rsid w:val="00342E7E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D2423"/>
    <w:rsid w:val="004D3884"/>
    <w:rsid w:val="004D5BBA"/>
    <w:rsid w:val="004D5D38"/>
    <w:rsid w:val="004E074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62B0"/>
    <w:rsid w:val="00584716"/>
    <w:rsid w:val="005849E3"/>
    <w:rsid w:val="00584E4F"/>
    <w:rsid w:val="00584E6C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4BF2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576E"/>
    <w:rsid w:val="006B7C51"/>
    <w:rsid w:val="006B7C8E"/>
    <w:rsid w:val="006C1F05"/>
    <w:rsid w:val="006C2070"/>
    <w:rsid w:val="006C4514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14AA6"/>
    <w:rsid w:val="008153A8"/>
    <w:rsid w:val="00821496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E18AF"/>
    <w:rsid w:val="009E4A3B"/>
    <w:rsid w:val="009E5D88"/>
    <w:rsid w:val="009F06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B05C6"/>
    <w:rsid w:val="00AB66D7"/>
    <w:rsid w:val="00AB694F"/>
    <w:rsid w:val="00AC32C6"/>
    <w:rsid w:val="00AD37E5"/>
    <w:rsid w:val="00AD3CFD"/>
    <w:rsid w:val="00AD7BA1"/>
    <w:rsid w:val="00AE32F1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27C2"/>
    <w:rsid w:val="00C249A2"/>
    <w:rsid w:val="00C444EA"/>
    <w:rsid w:val="00C44F99"/>
    <w:rsid w:val="00C50408"/>
    <w:rsid w:val="00C50DF8"/>
    <w:rsid w:val="00C5114A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73EA"/>
    <w:rsid w:val="00D07A87"/>
    <w:rsid w:val="00D110BB"/>
    <w:rsid w:val="00D12776"/>
    <w:rsid w:val="00D12ABA"/>
    <w:rsid w:val="00D12D35"/>
    <w:rsid w:val="00D16BE4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6CBF"/>
    <w:rsid w:val="00DA100A"/>
    <w:rsid w:val="00DA25AD"/>
    <w:rsid w:val="00DA73E5"/>
    <w:rsid w:val="00DB0090"/>
    <w:rsid w:val="00DB1679"/>
    <w:rsid w:val="00DB7777"/>
    <w:rsid w:val="00DC2F1C"/>
    <w:rsid w:val="00DC2F84"/>
    <w:rsid w:val="00DC4BA2"/>
    <w:rsid w:val="00DD038D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12520C2C"/>
    <w:rsid w:val="18F80821"/>
    <w:rsid w:val="277901A1"/>
    <w:rsid w:val="2F6340F0"/>
    <w:rsid w:val="33F9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uiPriority w:val="0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2"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2"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qFormat/>
    <w:uiPriority w:val="0"/>
    <w:rPr>
      <w:b/>
      <w:bCs/>
      <w:kern w:val="2"/>
      <w:sz w:val="21"/>
      <w:szCs w:val="24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865</Words>
  <Characters>4933</Characters>
  <Lines>41</Lines>
  <Paragraphs>11</Paragraphs>
  <TotalTime>0</TotalTime>
  <ScaleCrop>false</ScaleCrop>
  <LinksUpToDate>false</LinksUpToDate>
  <CharactersWithSpaces>5787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2017-10-13T01:52:00Z</dcterms:created>
  <dc:creator>全美国际教育协会</dc:creator>
  <cp:lastModifiedBy>明真</cp:lastModifiedBy>
  <cp:lastPrinted>2011-12-16T08:54:00Z</cp:lastPrinted>
  <dcterms:modified xsi:type="dcterms:W3CDTF">2020-03-02T09:17:44Z</dcterms:modified>
  <dc:title>加州大学河滨分校短期访学项目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